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FA0" w:rsidRDefault="006D6FA0">
      <w:pPr>
        <w:spacing w:after="1" w:line="200" w:lineRule="auto"/>
      </w:pPr>
      <w:bookmarkStart w:id="0" w:name="_GoBack"/>
      <w:r>
        <w:rPr>
          <w:rFonts w:ascii="Tahoma" w:hAnsi="Tahoma" w:cs="Tahoma"/>
          <w:sz w:val="20"/>
        </w:rPr>
        <w:t xml:space="preserve">Документ предоставлен </w:t>
      </w:r>
      <w:hyperlink r:id="rId4">
        <w:r>
          <w:rPr>
            <w:rFonts w:ascii="Tahoma" w:hAnsi="Tahoma" w:cs="Tahoma"/>
            <w:color w:val="0000FF"/>
            <w:sz w:val="20"/>
          </w:rPr>
          <w:t>КонсультантПлюс</w:t>
        </w:r>
      </w:hyperlink>
      <w:r>
        <w:rPr>
          <w:rFonts w:ascii="Tahoma" w:hAnsi="Tahoma" w:cs="Tahoma"/>
          <w:sz w:val="20"/>
        </w:rPr>
        <w:br/>
      </w:r>
    </w:p>
    <w:p w:rsidR="006D6FA0" w:rsidRDefault="006D6FA0">
      <w:pPr>
        <w:spacing w:after="1" w:line="220" w:lineRule="auto"/>
        <w:jc w:val="both"/>
        <w:outlineLvl w:val="0"/>
      </w:pPr>
    </w:p>
    <w:p w:rsidR="006D6FA0" w:rsidRDefault="006D6FA0">
      <w:pPr>
        <w:spacing w:after="1" w:line="220" w:lineRule="auto"/>
        <w:jc w:val="center"/>
        <w:outlineLvl w:val="0"/>
      </w:pPr>
      <w:r>
        <w:rPr>
          <w:rFonts w:ascii="Calibri" w:hAnsi="Calibri" w:cs="Calibri"/>
          <w:b/>
        </w:rPr>
        <w:t>МИНИСТЕРСТВО ТРУДА И СОЦИАЛЬНОЙ ЗАЩИТЫ РОССИЙСКОЙ ФЕДЕРАЦИИ</w:t>
      </w:r>
    </w:p>
    <w:p w:rsidR="006D6FA0" w:rsidRDefault="006D6FA0">
      <w:pPr>
        <w:spacing w:after="1" w:line="220" w:lineRule="auto"/>
        <w:jc w:val="center"/>
      </w:pPr>
    </w:p>
    <w:p w:rsidR="006D6FA0" w:rsidRDefault="006D6FA0">
      <w:pPr>
        <w:spacing w:after="1" w:line="220" w:lineRule="auto"/>
        <w:jc w:val="center"/>
      </w:pPr>
      <w:r>
        <w:rPr>
          <w:rFonts w:ascii="Calibri" w:hAnsi="Calibri" w:cs="Calibri"/>
          <w:b/>
        </w:rPr>
        <w:t>ПИСЬМО</w:t>
      </w:r>
    </w:p>
    <w:p w:rsidR="006D6FA0" w:rsidRDefault="006D6FA0">
      <w:pPr>
        <w:spacing w:after="1" w:line="220" w:lineRule="auto"/>
        <w:jc w:val="center"/>
      </w:pPr>
      <w:r>
        <w:rPr>
          <w:rFonts w:ascii="Calibri" w:hAnsi="Calibri" w:cs="Calibri"/>
          <w:b/>
        </w:rPr>
        <w:t>от 5 августа 2024 г. N 28-6/10/В-12568</w:t>
      </w:r>
    </w:p>
    <w:p w:rsidR="006D6FA0" w:rsidRDefault="006D6FA0">
      <w:pPr>
        <w:spacing w:after="1" w:line="220" w:lineRule="auto"/>
        <w:jc w:val="both"/>
      </w:pPr>
    </w:p>
    <w:p w:rsidR="006D6FA0" w:rsidRDefault="006D6FA0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 xml:space="preserve">Министерство труда и социальной защиты Российской Федерации по результатам мониторинга анализа практики применения </w:t>
      </w:r>
      <w:hyperlink r:id="rId5">
        <w:r>
          <w:rPr>
            <w:rFonts w:ascii="Calibri" w:hAnsi="Calibri" w:cs="Calibri"/>
            <w:color w:val="0000FF"/>
          </w:rPr>
          <w:t>статьи 12</w:t>
        </w:r>
      </w:hyperlink>
      <w:r>
        <w:rPr>
          <w:rFonts w:ascii="Calibri" w:hAnsi="Calibri" w:cs="Calibri"/>
        </w:rPr>
        <w:t xml:space="preserve"> Федерального закона от 25 декабря 2008 г. N 273-ФЗ "О противодействии коррупции", проведенного во исполнение </w:t>
      </w:r>
      <w:hyperlink r:id="rId6">
        <w:r>
          <w:rPr>
            <w:rFonts w:ascii="Calibri" w:hAnsi="Calibri" w:cs="Calibri"/>
            <w:color w:val="0000FF"/>
          </w:rPr>
          <w:t>пункта 22</w:t>
        </w:r>
      </w:hyperlink>
      <w:r>
        <w:rPr>
          <w:rFonts w:ascii="Calibri" w:hAnsi="Calibri" w:cs="Calibri"/>
        </w:rPr>
        <w:t xml:space="preserve"> Национального плана противодействия коррупции на 2021 - 2024 годы, утвержденного Указом Президента Российской Федерации от 16 августа 2021 г. N 478 "О Национальном плане противодействия коррупции на 2021 - 2024 годы", а также в рамках реализации полномочий, предусмотренных </w:t>
      </w:r>
      <w:hyperlink r:id="rId7">
        <w:r>
          <w:rPr>
            <w:rFonts w:ascii="Calibri" w:hAnsi="Calibri" w:cs="Calibri"/>
            <w:color w:val="0000FF"/>
          </w:rPr>
          <w:t>подпунктами "а"</w:t>
        </w:r>
      </w:hyperlink>
      <w:r>
        <w:rPr>
          <w:rFonts w:ascii="Calibri" w:hAnsi="Calibri" w:cs="Calibri"/>
        </w:rPr>
        <w:t xml:space="preserve"> и </w:t>
      </w:r>
      <w:hyperlink r:id="rId8">
        <w:r>
          <w:rPr>
            <w:rFonts w:ascii="Calibri" w:hAnsi="Calibri" w:cs="Calibri"/>
            <w:color w:val="0000FF"/>
          </w:rPr>
          <w:t>"в" пункта 25</w:t>
        </w:r>
      </w:hyperlink>
      <w:r>
        <w:rPr>
          <w:rFonts w:ascii="Calibri" w:hAnsi="Calibri" w:cs="Calibri"/>
        </w:rPr>
        <w:t xml:space="preserve"> Указа Президента Российской Федерации от 2 апреля 2013 г. N 309 "О мерах по реализации отдельных положений Федерального закона "О противодействии коррупции", направляет информационное </w:t>
      </w:r>
      <w:hyperlink w:anchor="P16">
        <w:r>
          <w:rPr>
            <w:rFonts w:ascii="Calibri" w:hAnsi="Calibri" w:cs="Calibri"/>
            <w:color w:val="0000FF"/>
          </w:rPr>
          <w:t>письмо</w:t>
        </w:r>
      </w:hyperlink>
      <w:r>
        <w:rPr>
          <w:rFonts w:ascii="Calibri" w:hAnsi="Calibri" w:cs="Calibri"/>
        </w:rPr>
        <w:t xml:space="preserve"> о порядке проведения проверки соблюдения ограничений, налагаемых на граждан Российской Федерации после их увольнения с государственной службы Российской Федерации или муниципальной службы.</w:t>
      </w:r>
    </w:p>
    <w:p w:rsidR="006D6FA0" w:rsidRDefault="006D6FA0">
      <w:pPr>
        <w:spacing w:after="1" w:line="220" w:lineRule="auto"/>
        <w:jc w:val="both"/>
      </w:pPr>
    </w:p>
    <w:p w:rsidR="006D6FA0" w:rsidRDefault="006D6FA0">
      <w:pPr>
        <w:spacing w:after="1" w:line="220" w:lineRule="auto"/>
        <w:jc w:val="right"/>
      </w:pPr>
      <w:r>
        <w:rPr>
          <w:rFonts w:ascii="Calibri" w:hAnsi="Calibri" w:cs="Calibri"/>
        </w:rPr>
        <w:t>А.В.ВОВЧЕНКО</w:t>
      </w:r>
    </w:p>
    <w:p w:rsidR="006D6FA0" w:rsidRDefault="006D6FA0">
      <w:pPr>
        <w:spacing w:after="1" w:line="220" w:lineRule="auto"/>
        <w:jc w:val="both"/>
      </w:pPr>
    </w:p>
    <w:p w:rsidR="006D6FA0" w:rsidRDefault="006D6FA0">
      <w:pPr>
        <w:spacing w:after="1" w:line="220" w:lineRule="auto"/>
        <w:jc w:val="both"/>
      </w:pPr>
    </w:p>
    <w:p w:rsidR="006D6FA0" w:rsidRDefault="006D6FA0">
      <w:pPr>
        <w:spacing w:after="1" w:line="220" w:lineRule="auto"/>
        <w:jc w:val="both"/>
      </w:pPr>
    </w:p>
    <w:p w:rsidR="006D6FA0" w:rsidRDefault="006D6FA0">
      <w:pPr>
        <w:spacing w:after="1" w:line="220" w:lineRule="auto"/>
        <w:jc w:val="both"/>
      </w:pPr>
    </w:p>
    <w:p w:rsidR="006D6FA0" w:rsidRDefault="006D6FA0">
      <w:pPr>
        <w:spacing w:after="1" w:line="220" w:lineRule="auto"/>
        <w:jc w:val="both"/>
      </w:pPr>
    </w:p>
    <w:p w:rsidR="006D6FA0" w:rsidRDefault="006D6FA0">
      <w:pPr>
        <w:spacing w:after="1" w:line="220" w:lineRule="auto"/>
        <w:jc w:val="right"/>
        <w:outlineLvl w:val="0"/>
      </w:pPr>
      <w:r>
        <w:rPr>
          <w:rFonts w:ascii="Calibri" w:hAnsi="Calibri" w:cs="Calibri"/>
        </w:rPr>
        <w:t>Приложение</w:t>
      </w:r>
    </w:p>
    <w:p w:rsidR="006D6FA0" w:rsidRDefault="006D6FA0">
      <w:pPr>
        <w:spacing w:after="1" w:line="220" w:lineRule="auto"/>
        <w:jc w:val="both"/>
      </w:pPr>
    </w:p>
    <w:p w:rsidR="006D6FA0" w:rsidRDefault="006D6FA0">
      <w:pPr>
        <w:spacing w:after="1" w:line="220" w:lineRule="auto"/>
        <w:jc w:val="center"/>
      </w:pPr>
      <w:bookmarkStart w:id="1" w:name="P16"/>
      <w:bookmarkEnd w:id="1"/>
      <w:r>
        <w:rPr>
          <w:rFonts w:ascii="Calibri" w:hAnsi="Calibri" w:cs="Calibri"/>
          <w:b/>
        </w:rPr>
        <w:t>ИНФОРМАЦИОННОЕ ПИСЬМО</w:t>
      </w:r>
    </w:p>
    <w:p w:rsidR="006D6FA0" w:rsidRDefault="006D6FA0">
      <w:pPr>
        <w:spacing w:after="1" w:line="220" w:lineRule="auto"/>
        <w:jc w:val="center"/>
      </w:pPr>
      <w:r>
        <w:rPr>
          <w:rFonts w:ascii="Calibri" w:hAnsi="Calibri" w:cs="Calibri"/>
          <w:b/>
        </w:rPr>
        <w:t>О ПОРЯДКЕ ПРОВЕДЕНИЯ ПРОВЕРКИ СОБЛЮДЕНИЯ ОГРАНИЧЕНИЙ,</w:t>
      </w:r>
    </w:p>
    <w:p w:rsidR="006D6FA0" w:rsidRDefault="006D6FA0">
      <w:pPr>
        <w:spacing w:after="1" w:line="220" w:lineRule="auto"/>
        <w:jc w:val="center"/>
      </w:pPr>
      <w:r>
        <w:rPr>
          <w:rFonts w:ascii="Calibri" w:hAnsi="Calibri" w:cs="Calibri"/>
          <w:b/>
        </w:rPr>
        <w:t>НАЛАГАЕМЫХ НА ГРАЖДАН РОССИЙСКОЙ ФЕДЕРАЦИИ ПОСЛЕ ИХ</w:t>
      </w:r>
    </w:p>
    <w:p w:rsidR="006D6FA0" w:rsidRDefault="006D6FA0">
      <w:pPr>
        <w:spacing w:after="1" w:line="220" w:lineRule="auto"/>
        <w:jc w:val="center"/>
      </w:pPr>
      <w:r>
        <w:rPr>
          <w:rFonts w:ascii="Calibri" w:hAnsi="Calibri" w:cs="Calibri"/>
          <w:b/>
        </w:rPr>
        <w:t>УВОЛЬНЕНИЯ С ГОСУДАРСТВЕННОЙ СЛУЖБЫ РОССИЙСКОЙ</w:t>
      </w:r>
    </w:p>
    <w:p w:rsidR="006D6FA0" w:rsidRDefault="006D6FA0">
      <w:pPr>
        <w:spacing w:after="1" w:line="220" w:lineRule="auto"/>
        <w:jc w:val="center"/>
      </w:pPr>
      <w:r>
        <w:rPr>
          <w:rFonts w:ascii="Calibri" w:hAnsi="Calibri" w:cs="Calibri"/>
          <w:b/>
        </w:rPr>
        <w:t>ФЕДЕРАЦИИ ИЛИ МУНИЦИПАЛЬНОЙ СЛУЖБЫ</w:t>
      </w:r>
    </w:p>
    <w:p w:rsidR="006D6FA0" w:rsidRDefault="006D6FA0">
      <w:pPr>
        <w:spacing w:after="1" w:line="220" w:lineRule="auto"/>
        <w:jc w:val="both"/>
      </w:pPr>
    </w:p>
    <w:p w:rsidR="006D6FA0" w:rsidRDefault="006D6FA0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 xml:space="preserve">Министерством труда и социальной защиты Российской Федерации в рамках исполнения пункта 13 поручения Правительства Российской Федерации от 6 сентября 2021 г. N ММ-П17-12165, данного в целях реализации </w:t>
      </w:r>
      <w:hyperlink r:id="rId9">
        <w:r>
          <w:rPr>
            <w:rFonts w:ascii="Calibri" w:hAnsi="Calibri" w:cs="Calibri"/>
            <w:color w:val="0000FF"/>
          </w:rPr>
          <w:t>пункта 22</w:t>
        </w:r>
      </w:hyperlink>
      <w:r>
        <w:rPr>
          <w:rFonts w:ascii="Calibri" w:hAnsi="Calibri" w:cs="Calibri"/>
        </w:rPr>
        <w:t xml:space="preserve"> Национального плана противодействия коррупции на 2021 - 2024 годы, утвержденного Указом Президента Российской Федерации от 16 августа 2021 г. N 478 "О Национальном плане противодействия коррупции на 2021 - 2024 годы", проведен мониторинг анализа практики применения </w:t>
      </w:r>
      <w:hyperlink r:id="rId10">
        <w:r>
          <w:rPr>
            <w:rFonts w:ascii="Calibri" w:hAnsi="Calibri" w:cs="Calibri"/>
            <w:color w:val="0000FF"/>
          </w:rPr>
          <w:t>статьи 12</w:t>
        </w:r>
      </w:hyperlink>
      <w:r>
        <w:rPr>
          <w:rFonts w:ascii="Calibri" w:hAnsi="Calibri" w:cs="Calibri"/>
        </w:rPr>
        <w:t xml:space="preserve"> Федерального закона от 25 декабря 2008 г. N 273-ФЗ "О противодействии коррупции" (далее соответственно - мониторинг, Федеральный закон N 273-ФЗ).</w:t>
      </w:r>
    </w:p>
    <w:p w:rsidR="006D6FA0" w:rsidRDefault="006D6FA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В соответствии со </w:t>
      </w:r>
      <w:hyperlink r:id="rId11">
        <w:r>
          <w:rPr>
            <w:rFonts w:ascii="Calibri" w:hAnsi="Calibri" w:cs="Calibri"/>
            <w:color w:val="0000FF"/>
          </w:rPr>
          <w:t>статьей 12</w:t>
        </w:r>
      </w:hyperlink>
      <w:r>
        <w:rPr>
          <w:rFonts w:ascii="Calibri" w:hAnsi="Calibri" w:cs="Calibri"/>
        </w:rPr>
        <w:t xml:space="preserve"> Федерального закона N 273-ФЗ гражданин Российской Федерации, замещавший должность государственной службы Российской Федерации или муниципальной службы (далее - государственная (муниципальная) служба), включенную в перечень, установленный нормативными правовыми актами Российской Федерации (далее - бывший служащий), в течение двух лет после увольнения с государственной (муниципальной) службы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 (далее - договоры), если отдельные функции государственного, муниципального (административного) управления (далее - отдельные функции управления) данной организацией входили в должностные (служебные) обязанности бывшего служащего, с согласия соответствующей комиссии по соблюдению требований к служебному поведению государственных (муниципальных) служащих и урегулированию конфликта интересов (далее - комиссия).</w:t>
      </w:r>
    </w:p>
    <w:p w:rsidR="006D6FA0" w:rsidRDefault="006D6FA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Ранее Минтрудом России совместно с заинтересованными федеральными государственными органами подготовлены Методические </w:t>
      </w:r>
      <w:hyperlink r:id="rId12">
        <w:r>
          <w:rPr>
            <w:rFonts w:ascii="Calibri" w:hAnsi="Calibri" w:cs="Calibri"/>
            <w:color w:val="0000FF"/>
          </w:rPr>
          <w:t>рекомендации</w:t>
        </w:r>
      </w:hyperlink>
      <w:r>
        <w:rPr>
          <w:rFonts w:ascii="Calibri" w:hAnsi="Calibri" w:cs="Calibri"/>
        </w:rPr>
        <w:t xml:space="preserve"> по вопросам соблюдения ограничений, </w:t>
      </w:r>
      <w:r>
        <w:rPr>
          <w:rFonts w:ascii="Calibri" w:hAnsi="Calibri" w:cs="Calibri"/>
        </w:rPr>
        <w:lastRenderedPageBreak/>
        <w:t>налагаемых на гражданина, замещавшего должность государственной (муниципальной) службы, при заключении им трудового или гражданско-правового договора с организацией (далее соответственно - Методические рекомендации, ограничения) &lt;1&gt;.</w:t>
      </w:r>
    </w:p>
    <w:p w:rsidR="006D6FA0" w:rsidRDefault="006D6FA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--------------------------------</w:t>
      </w:r>
    </w:p>
    <w:p w:rsidR="006D6FA0" w:rsidRDefault="006D6FA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&lt;1&gt; Доступны для ознакомления и скачивания на официальном сайте Минтруда России в информационно-телекоммуникационной сети "Интернет" по ссылке: https://mintrud.gov.ru/ministry/programms/anticorruption/9/4.</w:t>
      </w:r>
    </w:p>
    <w:p w:rsidR="006D6FA0" w:rsidRDefault="006D6FA0">
      <w:pPr>
        <w:spacing w:after="1" w:line="220" w:lineRule="auto"/>
        <w:jc w:val="both"/>
      </w:pPr>
    </w:p>
    <w:p w:rsidR="006D6FA0" w:rsidRDefault="006D6FA0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 xml:space="preserve">Указанные Методические </w:t>
      </w:r>
      <w:hyperlink r:id="rId13">
        <w:r>
          <w:rPr>
            <w:rFonts w:ascii="Calibri" w:hAnsi="Calibri" w:cs="Calibri"/>
            <w:color w:val="0000FF"/>
          </w:rPr>
          <w:t>рекомендации</w:t>
        </w:r>
      </w:hyperlink>
      <w:r>
        <w:rPr>
          <w:rFonts w:ascii="Calibri" w:hAnsi="Calibri" w:cs="Calibri"/>
        </w:rPr>
        <w:t xml:space="preserve"> являются актуальными.</w:t>
      </w:r>
    </w:p>
    <w:p w:rsidR="006D6FA0" w:rsidRDefault="006D6FA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При этом дополнительно напоминаем, что ограничения распространяются при одновременном наличии условий, непосредственно указанных в содержании самого ограничения, которые также обозначены в </w:t>
      </w:r>
      <w:hyperlink r:id="rId14">
        <w:r>
          <w:rPr>
            <w:rFonts w:ascii="Calibri" w:hAnsi="Calibri" w:cs="Calibri"/>
            <w:color w:val="0000FF"/>
          </w:rPr>
          <w:t>пункте 4</w:t>
        </w:r>
      </w:hyperlink>
      <w:r>
        <w:rPr>
          <w:rFonts w:ascii="Calibri" w:hAnsi="Calibri" w:cs="Calibri"/>
        </w:rPr>
        <w:t xml:space="preserve"> Методических рекомендаций.</w:t>
      </w:r>
    </w:p>
    <w:p w:rsidR="006D6FA0" w:rsidRDefault="006D6FA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С учетом результатов мониторинга обращаем внимание, что вхождение в должностные (служебные) обязанности бывшего служащего отдельных функций управления организацией, с которой планируется заключение договора, само по себе не является безусловным основанием для отказа в заключении договора. Рассматриваемое обстоятельство при одновременном наличии иных предусмотренных Федеральным </w:t>
      </w:r>
      <w:hyperlink r:id="rId15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N 273-ФЗ условий требует предварительного получения согласия комиссии.</w:t>
      </w:r>
    </w:p>
    <w:p w:rsidR="006D6FA0" w:rsidRDefault="006D6FA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В Методических </w:t>
      </w:r>
      <w:hyperlink r:id="rId16">
        <w:r>
          <w:rPr>
            <w:rFonts w:ascii="Calibri" w:hAnsi="Calibri" w:cs="Calibri"/>
            <w:color w:val="0000FF"/>
          </w:rPr>
          <w:t>рекомендациях</w:t>
        </w:r>
      </w:hyperlink>
      <w:r>
        <w:rPr>
          <w:rFonts w:ascii="Calibri" w:hAnsi="Calibri" w:cs="Calibri"/>
        </w:rPr>
        <w:t xml:space="preserve"> отмечено, что рассмотрение соответствующего вопроса о даче согласия (отказе) осуществляется посредством анализа коррупционных рисков на предмет недопущения возникновения коллизии публичных и частных интересов, которая может выражаться:</w:t>
      </w:r>
    </w:p>
    <w:p w:rsidR="006D6FA0" w:rsidRDefault="006D6FA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- в возникновении конфликта интересов при исполнении должностных (служебных) обязанностей, обусловленного возможностью предоставления выгод и преимуществ для организации, рассматриваемой государственным (муниципальным) служащим в качестве будущего места работы;</w:t>
      </w:r>
    </w:p>
    <w:p w:rsidR="006D6FA0" w:rsidRDefault="006D6FA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- в неправомерном использовании служебной информации в интересах организации после увольнения с государственной (муниципальной) службы &lt;2&gt;.</w:t>
      </w:r>
    </w:p>
    <w:p w:rsidR="006D6FA0" w:rsidRDefault="006D6FA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--------------------------------</w:t>
      </w:r>
    </w:p>
    <w:p w:rsidR="006D6FA0" w:rsidRDefault="006D6FA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&lt;2&gt; См. </w:t>
      </w:r>
      <w:hyperlink r:id="rId17">
        <w:r>
          <w:rPr>
            <w:rFonts w:ascii="Calibri" w:hAnsi="Calibri" w:cs="Calibri"/>
            <w:color w:val="0000FF"/>
          </w:rPr>
          <w:t>пункт 2</w:t>
        </w:r>
      </w:hyperlink>
      <w:r>
        <w:rPr>
          <w:rFonts w:ascii="Calibri" w:hAnsi="Calibri" w:cs="Calibri"/>
        </w:rPr>
        <w:t xml:space="preserve"> Методических рекомендаций.</w:t>
      </w:r>
    </w:p>
    <w:p w:rsidR="006D6FA0" w:rsidRDefault="006D6FA0">
      <w:pPr>
        <w:spacing w:after="1" w:line="220" w:lineRule="auto"/>
        <w:jc w:val="both"/>
      </w:pPr>
    </w:p>
    <w:p w:rsidR="006D6FA0" w:rsidRDefault="006D6FA0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>Как следствие, даже при вхождении отдельных функций управления в должностные (служебные) обязанности бывшего служащего комиссией может быть принято решение о даче согласия (при условии отсутствия установленных коррупционных рисков).</w:t>
      </w:r>
    </w:p>
    <w:p w:rsidR="006D6FA0" w:rsidRDefault="006D6FA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Дополнительно напоминаем, что основанием для проведения заседания комиссии является поступившее в соответствии с </w:t>
      </w:r>
      <w:hyperlink r:id="rId18">
        <w:r>
          <w:rPr>
            <w:rFonts w:ascii="Calibri" w:hAnsi="Calibri" w:cs="Calibri"/>
            <w:color w:val="0000FF"/>
          </w:rPr>
          <w:t>частью 4 статьи 12</w:t>
        </w:r>
      </w:hyperlink>
      <w:r>
        <w:rPr>
          <w:rFonts w:ascii="Calibri" w:hAnsi="Calibri" w:cs="Calibri"/>
        </w:rPr>
        <w:t xml:space="preserve"> Федерального закона N 273-ФЗ и </w:t>
      </w:r>
      <w:hyperlink r:id="rId19">
        <w:r>
          <w:rPr>
            <w:rFonts w:ascii="Calibri" w:hAnsi="Calibri" w:cs="Calibri"/>
            <w:color w:val="0000FF"/>
          </w:rPr>
          <w:t>статьей 64.1</w:t>
        </w:r>
      </w:hyperlink>
      <w:r>
        <w:rPr>
          <w:rFonts w:ascii="Calibri" w:hAnsi="Calibri" w:cs="Calibri"/>
        </w:rPr>
        <w:t xml:space="preserve"> Трудового кодекса Российской Федерации в орган публичной власти уведомление коммерческой или некоммерческой организации о заключении с бывшим служащим договора &lt;3&gt;.</w:t>
      </w:r>
    </w:p>
    <w:p w:rsidR="006D6FA0" w:rsidRDefault="006D6FA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--------------------------------</w:t>
      </w:r>
    </w:p>
    <w:p w:rsidR="006D6FA0" w:rsidRDefault="006D6FA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&lt;3&gt; Уведомление от коммерческой или некоммерческой организации о заключении с бывшим служащим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государственном органе (далее также - уведомление).</w:t>
      </w:r>
    </w:p>
    <w:p w:rsidR="006D6FA0" w:rsidRDefault="006D6FA0">
      <w:pPr>
        <w:spacing w:after="1" w:line="220" w:lineRule="auto"/>
        <w:jc w:val="both"/>
      </w:pPr>
    </w:p>
    <w:p w:rsidR="006D6FA0" w:rsidRDefault="006D6FA0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>Такое уведомление рассматривается на заседании комиссии при наличии одного из следующих условий &lt;4&gt;:</w:t>
      </w:r>
    </w:p>
    <w:p w:rsidR="006D6FA0" w:rsidRDefault="006D6FA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lastRenderedPageBreak/>
        <w:t>--------------------------------</w:t>
      </w:r>
    </w:p>
    <w:p w:rsidR="006D6FA0" w:rsidRDefault="006D6FA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&lt;4&gt; </w:t>
      </w:r>
      <w:hyperlink r:id="rId20">
        <w:r>
          <w:rPr>
            <w:rFonts w:ascii="Calibri" w:hAnsi="Calibri" w:cs="Calibri"/>
            <w:color w:val="0000FF"/>
          </w:rPr>
          <w:t>Подпункт "д" пункта 16</w:t>
        </w:r>
      </w:hyperlink>
      <w:r>
        <w:rPr>
          <w:rFonts w:ascii="Calibri" w:hAnsi="Calibri" w:cs="Calibri"/>
        </w:rPr>
        <w:t xml:space="preserve">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 (далее - Положение о комиссии).</w:t>
      </w:r>
    </w:p>
    <w:p w:rsidR="006D6FA0" w:rsidRDefault="006D6FA0">
      <w:pPr>
        <w:spacing w:after="1" w:line="220" w:lineRule="auto"/>
        <w:jc w:val="both"/>
      </w:pPr>
    </w:p>
    <w:p w:rsidR="006D6FA0" w:rsidRDefault="006D6FA0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>- бывшему служащему комиссией ранее было отказано во вступлении в трудовые и гражданско-правовые отношения с организацией;</w:t>
      </w:r>
    </w:p>
    <w:p w:rsidR="006D6FA0" w:rsidRDefault="006D6FA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- вопрос о даче согласия бывшему служащему на заключение договора с соответствующей организацией комиссией не рассматривался, а отдельные функции управления данной организацией входили в его должностные (служебные) обязанности.</w:t>
      </w:r>
    </w:p>
    <w:p w:rsidR="006D6FA0" w:rsidRDefault="006D6FA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Таким образом, в ситуации, когда вопрос о даче согласия бывшему служащему на заключение договора не рассматривался, но такое рассмотрение требуется, сам факт отсутствия обращения &lt;5&gt; бывшего служащего до заключения договора еще не свидетельствует о безусловном отказе: предусматривается возможность дать согласие на основании уведомления &lt;6&gt;.</w:t>
      </w:r>
    </w:p>
    <w:p w:rsidR="006D6FA0" w:rsidRDefault="006D6FA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--------------------------------</w:t>
      </w:r>
    </w:p>
    <w:p w:rsidR="006D6FA0" w:rsidRDefault="006D6FA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&lt;5&gt; Обращение от бывшего служащего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договора, если отдельные функции государственного, муниципального (административного) управления данной организацией входили в его должностные (служебные) обязанности (далее также - обращение).</w:t>
      </w:r>
    </w:p>
    <w:p w:rsidR="006D6FA0" w:rsidRDefault="006D6FA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&lt;6&gt; </w:t>
      </w:r>
      <w:hyperlink r:id="rId21">
        <w:r>
          <w:rPr>
            <w:rFonts w:ascii="Calibri" w:hAnsi="Calibri" w:cs="Calibri"/>
            <w:color w:val="0000FF"/>
          </w:rPr>
          <w:t>Подпункт "а" пункта 26.1</w:t>
        </w:r>
      </w:hyperlink>
      <w:r>
        <w:rPr>
          <w:rFonts w:ascii="Calibri" w:hAnsi="Calibri" w:cs="Calibri"/>
        </w:rPr>
        <w:t xml:space="preserve"> Положения о комиссии.</w:t>
      </w:r>
    </w:p>
    <w:p w:rsidR="006D6FA0" w:rsidRDefault="006D6FA0">
      <w:pPr>
        <w:spacing w:after="1" w:line="220" w:lineRule="auto"/>
        <w:jc w:val="both"/>
      </w:pPr>
    </w:p>
    <w:p w:rsidR="006D6FA0" w:rsidRDefault="006D6FA0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>Кроме того, важно помнить, что любой отказ (как по результатам рассмотрения обращения, так и по результатам рассмотрения уведомления) должен быть мотивирован.</w:t>
      </w:r>
    </w:p>
    <w:p w:rsidR="006D6FA0" w:rsidRDefault="006D6FA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Учитывая изложенное, именно анализ коррупционных рисков на предмет недопущения возникновения коллизии публичных и частных интересов может являться предметом проверки соблюдения ограничения.</w:t>
      </w:r>
    </w:p>
    <w:p w:rsidR="006D6FA0" w:rsidRDefault="006D6FA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В рамках мониторинга проанализирована практика проведения проверок соблюдения бывшими служащими ограничений.</w:t>
      </w:r>
    </w:p>
    <w:p w:rsidR="006D6FA0" w:rsidRDefault="006D6FA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Отмечаем, что подразделения органов публичной власти по профилактике коррупционных и иных правонарушений (должностные лица, ответственные за работу по профилактике коррупционных и иных правонарушений) и органы субъектов Российской Федерации по профилактике коррупционных и иных правонарушений (далее - антикоррупционные подразделения) в настоящий момент обладают рядом полномочий, направленных на проведение указанных проверок.</w:t>
      </w:r>
    </w:p>
    <w:p w:rsidR="006D6FA0" w:rsidRDefault="006D6FA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Правоприменительная практика свидетельствует о следующих возможных сценариях, связанных с соблюдением </w:t>
      </w:r>
      <w:hyperlink r:id="rId22">
        <w:r>
          <w:rPr>
            <w:rFonts w:ascii="Calibri" w:hAnsi="Calibri" w:cs="Calibri"/>
            <w:color w:val="0000FF"/>
          </w:rPr>
          <w:t>статьи 12</w:t>
        </w:r>
      </w:hyperlink>
      <w:r>
        <w:rPr>
          <w:rFonts w:ascii="Calibri" w:hAnsi="Calibri" w:cs="Calibri"/>
        </w:rPr>
        <w:t xml:space="preserve"> Федерального закона N 273-ФЗ, которые представлены в таблице.</w:t>
      </w:r>
    </w:p>
    <w:p w:rsidR="006D6FA0" w:rsidRDefault="006D6FA0">
      <w:pPr>
        <w:spacing w:after="1" w:line="220" w:lineRule="auto"/>
        <w:jc w:val="both"/>
      </w:pPr>
    </w:p>
    <w:p w:rsidR="006D6FA0" w:rsidRDefault="006D6FA0">
      <w:pPr>
        <w:spacing w:after="1" w:line="220" w:lineRule="auto"/>
        <w:jc w:val="right"/>
      </w:pPr>
      <w:r>
        <w:rPr>
          <w:rFonts w:ascii="Calibri" w:hAnsi="Calibri" w:cs="Calibri"/>
        </w:rPr>
        <w:t>Таблица. Возможные сценарии</w:t>
      </w:r>
    </w:p>
    <w:p w:rsidR="006D6FA0" w:rsidRDefault="006D6FA0">
      <w:pPr>
        <w:spacing w:after="1" w:line="22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3017"/>
        <w:gridCol w:w="3017"/>
      </w:tblGrid>
      <w:tr w:rsidR="006D6FA0">
        <w:tc>
          <w:tcPr>
            <w:tcW w:w="3061" w:type="dxa"/>
          </w:tcPr>
          <w:p w:rsidR="006D6FA0" w:rsidRDefault="006D6FA0">
            <w:pPr>
              <w:spacing w:after="1" w:line="220" w:lineRule="auto"/>
            </w:pPr>
          </w:p>
        </w:tc>
        <w:tc>
          <w:tcPr>
            <w:tcW w:w="3017" w:type="dxa"/>
            <w:vAlign w:val="bottom"/>
          </w:tcPr>
          <w:p w:rsidR="006D6FA0" w:rsidRDefault="006D6FA0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Обращение</w:t>
            </w:r>
          </w:p>
        </w:tc>
        <w:tc>
          <w:tcPr>
            <w:tcW w:w="3017" w:type="dxa"/>
            <w:vAlign w:val="bottom"/>
          </w:tcPr>
          <w:p w:rsidR="006D6FA0" w:rsidRDefault="006D6FA0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Уведомление</w:t>
            </w:r>
          </w:p>
        </w:tc>
      </w:tr>
      <w:tr w:rsidR="006D6FA0">
        <w:tc>
          <w:tcPr>
            <w:tcW w:w="3061" w:type="dxa"/>
            <w:vAlign w:val="bottom"/>
          </w:tcPr>
          <w:p w:rsidR="006D6FA0" w:rsidRDefault="006D6FA0">
            <w:pPr>
              <w:spacing w:after="1" w:line="220" w:lineRule="auto"/>
            </w:pPr>
            <w:bookmarkStart w:id="2" w:name="P64"/>
            <w:bookmarkEnd w:id="2"/>
            <w:r>
              <w:rPr>
                <w:rFonts w:ascii="Calibri" w:hAnsi="Calibri" w:cs="Calibri"/>
              </w:rPr>
              <w:t>Сценарий 1</w:t>
            </w:r>
          </w:p>
        </w:tc>
        <w:tc>
          <w:tcPr>
            <w:tcW w:w="3017" w:type="dxa"/>
            <w:vAlign w:val="bottom"/>
          </w:tcPr>
          <w:p w:rsidR="006D6FA0" w:rsidRDefault="006D6FA0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направлено</w:t>
            </w:r>
          </w:p>
        </w:tc>
        <w:tc>
          <w:tcPr>
            <w:tcW w:w="3017" w:type="dxa"/>
            <w:vAlign w:val="bottom"/>
          </w:tcPr>
          <w:p w:rsidR="006D6FA0" w:rsidRDefault="006D6FA0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направлено</w:t>
            </w:r>
          </w:p>
        </w:tc>
      </w:tr>
      <w:tr w:rsidR="006D6FA0">
        <w:tc>
          <w:tcPr>
            <w:tcW w:w="3061" w:type="dxa"/>
            <w:vAlign w:val="bottom"/>
          </w:tcPr>
          <w:p w:rsidR="006D6FA0" w:rsidRDefault="006D6FA0">
            <w:pPr>
              <w:spacing w:after="1" w:line="220" w:lineRule="auto"/>
            </w:pPr>
            <w:r>
              <w:rPr>
                <w:rFonts w:ascii="Calibri" w:hAnsi="Calibri" w:cs="Calibri"/>
              </w:rPr>
              <w:t>Сценарий 2</w:t>
            </w:r>
          </w:p>
        </w:tc>
        <w:tc>
          <w:tcPr>
            <w:tcW w:w="3017" w:type="dxa"/>
            <w:vAlign w:val="bottom"/>
          </w:tcPr>
          <w:p w:rsidR="006D6FA0" w:rsidRDefault="006D6FA0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направлено</w:t>
            </w:r>
          </w:p>
        </w:tc>
        <w:tc>
          <w:tcPr>
            <w:tcW w:w="3017" w:type="dxa"/>
            <w:vAlign w:val="bottom"/>
          </w:tcPr>
          <w:p w:rsidR="006D6FA0" w:rsidRDefault="006D6FA0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не направлено</w:t>
            </w:r>
          </w:p>
        </w:tc>
      </w:tr>
      <w:tr w:rsidR="006D6FA0">
        <w:tc>
          <w:tcPr>
            <w:tcW w:w="3061" w:type="dxa"/>
            <w:vAlign w:val="bottom"/>
          </w:tcPr>
          <w:p w:rsidR="006D6FA0" w:rsidRDefault="006D6FA0">
            <w:pPr>
              <w:spacing w:after="1" w:line="220" w:lineRule="auto"/>
            </w:pPr>
            <w:bookmarkStart w:id="3" w:name="P70"/>
            <w:bookmarkEnd w:id="3"/>
            <w:r>
              <w:rPr>
                <w:rFonts w:ascii="Calibri" w:hAnsi="Calibri" w:cs="Calibri"/>
              </w:rPr>
              <w:lastRenderedPageBreak/>
              <w:t>Сценарий 3</w:t>
            </w:r>
          </w:p>
        </w:tc>
        <w:tc>
          <w:tcPr>
            <w:tcW w:w="3017" w:type="dxa"/>
            <w:vAlign w:val="bottom"/>
          </w:tcPr>
          <w:p w:rsidR="006D6FA0" w:rsidRDefault="006D6FA0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не направлено</w:t>
            </w:r>
          </w:p>
        </w:tc>
        <w:tc>
          <w:tcPr>
            <w:tcW w:w="3017" w:type="dxa"/>
            <w:vAlign w:val="bottom"/>
          </w:tcPr>
          <w:p w:rsidR="006D6FA0" w:rsidRDefault="006D6FA0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направлено</w:t>
            </w:r>
          </w:p>
        </w:tc>
      </w:tr>
      <w:tr w:rsidR="006D6FA0">
        <w:tc>
          <w:tcPr>
            <w:tcW w:w="3061" w:type="dxa"/>
            <w:vAlign w:val="bottom"/>
          </w:tcPr>
          <w:p w:rsidR="006D6FA0" w:rsidRDefault="006D6FA0">
            <w:pPr>
              <w:spacing w:after="1" w:line="220" w:lineRule="auto"/>
            </w:pPr>
            <w:bookmarkStart w:id="4" w:name="P73"/>
            <w:bookmarkEnd w:id="4"/>
            <w:r>
              <w:rPr>
                <w:rFonts w:ascii="Calibri" w:hAnsi="Calibri" w:cs="Calibri"/>
              </w:rPr>
              <w:t>Сценарий 4</w:t>
            </w:r>
          </w:p>
        </w:tc>
        <w:tc>
          <w:tcPr>
            <w:tcW w:w="3017" w:type="dxa"/>
            <w:vAlign w:val="bottom"/>
          </w:tcPr>
          <w:p w:rsidR="006D6FA0" w:rsidRDefault="006D6FA0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не направлено</w:t>
            </w:r>
          </w:p>
        </w:tc>
        <w:tc>
          <w:tcPr>
            <w:tcW w:w="3017" w:type="dxa"/>
            <w:vAlign w:val="bottom"/>
          </w:tcPr>
          <w:p w:rsidR="006D6FA0" w:rsidRDefault="006D6FA0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не направлено</w:t>
            </w:r>
          </w:p>
        </w:tc>
      </w:tr>
    </w:tbl>
    <w:p w:rsidR="006D6FA0" w:rsidRDefault="006D6FA0">
      <w:pPr>
        <w:spacing w:after="1" w:line="220" w:lineRule="auto"/>
        <w:jc w:val="both"/>
      </w:pPr>
    </w:p>
    <w:p w:rsidR="006D6FA0" w:rsidRDefault="006D6FA0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 xml:space="preserve">В </w:t>
      </w:r>
      <w:hyperlink w:anchor="P64">
        <w:r>
          <w:rPr>
            <w:rFonts w:ascii="Calibri" w:hAnsi="Calibri" w:cs="Calibri"/>
            <w:color w:val="0000FF"/>
          </w:rPr>
          <w:t>сценариях N 1</w:t>
        </w:r>
      </w:hyperlink>
      <w:r>
        <w:rPr>
          <w:rFonts w:ascii="Calibri" w:hAnsi="Calibri" w:cs="Calibri"/>
        </w:rPr>
        <w:t xml:space="preserve"> - </w:t>
      </w:r>
      <w:hyperlink w:anchor="P70">
        <w:r>
          <w:rPr>
            <w:rFonts w:ascii="Calibri" w:hAnsi="Calibri" w:cs="Calibri"/>
            <w:color w:val="0000FF"/>
          </w:rPr>
          <w:t>3</w:t>
        </w:r>
      </w:hyperlink>
      <w:r>
        <w:rPr>
          <w:rFonts w:ascii="Calibri" w:hAnsi="Calibri" w:cs="Calibri"/>
        </w:rPr>
        <w:t xml:space="preserve"> действующее нормативное правовое регулирование позволяет в полной мере осуществить комплекс мероприятий, направленных на достоверное и полное установление всех обстоятельств.</w:t>
      </w:r>
    </w:p>
    <w:p w:rsidR="006D6FA0" w:rsidRDefault="006D6FA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Так, в случае, когда в орган публичной власти поступает обращение и (или) уведомление в соответствии с </w:t>
      </w:r>
      <w:hyperlink r:id="rId23">
        <w:r>
          <w:rPr>
            <w:rFonts w:ascii="Calibri" w:hAnsi="Calibri" w:cs="Calibri"/>
            <w:color w:val="0000FF"/>
          </w:rPr>
          <w:t>Положением</w:t>
        </w:r>
      </w:hyperlink>
      <w:r>
        <w:rPr>
          <w:rFonts w:ascii="Calibri" w:hAnsi="Calibri" w:cs="Calibri"/>
        </w:rPr>
        <w:t xml:space="preserve"> о комиссии, антикоррупционное подразделение осуществляет подготовку соответствующего мотивированного заключения &lt;7&gt;.</w:t>
      </w:r>
    </w:p>
    <w:p w:rsidR="006D6FA0" w:rsidRDefault="006D6FA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--------------------------------</w:t>
      </w:r>
    </w:p>
    <w:p w:rsidR="006D6FA0" w:rsidRDefault="006D6FA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&lt;7&gt; </w:t>
      </w:r>
      <w:hyperlink r:id="rId24">
        <w:r>
          <w:rPr>
            <w:rFonts w:ascii="Calibri" w:hAnsi="Calibri" w:cs="Calibri"/>
            <w:color w:val="0000FF"/>
          </w:rPr>
          <w:t>Пункты 17.1</w:t>
        </w:r>
      </w:hyperlink>
      <w:r>
        <w:rPr>
          <w:rFonts w:ascii="Calibri" w:hAnsi="Calibri" w:cs="Calibri"/>
        </w:rPr>
        <w:t xml:space="preserve"> и </w:t>
      </w:r>
      <w:hyperlink r:id="rId25">
        <w:r>
          <w:rPr>
            <w:rFonts w:ascii="Calibri" w:hAnsi="Calibri" w:cs="Calibri"/>
            <w:color w:val="0000FF"/>
          </w:rPr>
          <w:t>17.3</w:t>
        </w:r>
      </w:hyperlink>
      <w:r>
        <w:rPr>
          <w:rFonts w:ascii="Calibri" w:hAnsi="Calibri" w:cs="Calibri"/>
        </w:rPr>
        <w:t xml:space="preserve"> Положения о комиссии соответственно.</w:t>
      </w:r>
    </w:p>
    <w:p w:rsidR="006D6FA0" w:rsidRDefault="006D6FA0">
      <w:pPr>
        <w:spacing w:after="1" w:line="220" w:lineRule="auto"/>
        <w:jc w:val="both"/>
      </w:pPr>
    </w:p>
    <w:p w:rsidR="006D6FA0" w:rsidRDefault="006D6FA0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>При подготовке мотивированного заключения антикоррупционные подразделения наделены полномочиями проводить собеседование с соответствующим служащим, представившим обращение, получать от него письменные пояснения, а уполномоченные должностные лица органов публичной власти могут направлять в установленном порядке запросы в иные органы публичной власти и заинтересованные организации, использовать государственную информационную систему в области противодействия коррупции "Посейдон", в том числе для направления запросов &lt;8&gt;.</w:t>
      </w:r>
    </w:p>
    <w:p w:rsidR="006D6FA0" w:rsidRDefault="006D6FA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--------------------------------</w:t>
      </w:r>
    </w:p>
    <w:p w:rsidR="006D6FA0" w:rsidRDefault="006D6FA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&lt;8&gt; </w:t>
      </w:r>
      <w:hyperlink r:id="rId26">
        <w:r>
          <w:rPr>
            <w:rFonts w:ascii="Calibri" w:hAnsi="Calibri" w:cs="Calibri"/>
            <w:color w:val="0000FF"/>
          </w:rPr>
          <w:t>Пункт 17.5</w:t>
        </w:r>
      </w:hyperlink>
      <w:r>
        <w:rPr>
          <w:rFonts w:ascii="Calibri" w:hAnsi="Calibri" w:cs="Calibri"/>
        </w:rPr>
        <w:t xml:space="preserve"> Положения о комиссии.</w:t>
      </w:r>
    </w:p>
    <w:p w:rsidR="006D6FA0" w:rsidRDefault="006D6FA0">
      <w:pPr>
        <w:spacing w:after="1" w:line="220" w:lineRule="auto"/>
        <w:jc w:val="both"/>
      </w:pPr>
    </w:p>
    <w:p w:rsidR="006D6FA0" w:rsidRDefault="006D6FA0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 xml:space="preserve">Каждое мотивированное заключение должно содержать соответствующий мотивированный вывод и рекомендации для принятия одного из решений, предусмотренных соответственно </w:t>
      </w:r>
      <w:hyperlink r:id="rId27">
        <w:r>
          <w:rPr>
            <w:rFonts w:ascii="Calibri" w:hAnsi="Calibri" w:cs="Calibri"/>
            <w:color w:val="0000FF"/>
          </w:rPr>
          <w:t>пунктами 24</w:t>
        </w:r>
      </w:hyperlink>
      <w:r>
        <w:rPr>
          <w:rFonts w:ascii="Calibri" w:hAnsi="Calibri" w:cs="Calibri"/>
        </w:rPr>
        <w:t xml:space="preserve"> и </w:t>
      </w:r>
      <w:hyperlink r:id="rId28">
        <w:r>
          <w:rPr>
            <w:rFonts w:ascii="Calibri" w:hAnsi="Calibri" w:cs="Calibri"/>
            <w:color w:val="0000FF"/>
          </w:rPr>
          <w:t>26.1</w:t>
        </w:r>
      </w:hyperlink>
      <w:r>
        <w:rPr>
          <w:rFonts w:ascii="Calibri" w:hAnsi="Calibri" w:cs="Calibri"/>
        </w:rPr>
        <w:t xml:space="preserve"> Положения о комиссии &lt;9&gt;.</w:t>
      </w:r>
    </w:p>
    <w:p w:rsidR="006D6FA0" w:rsidRDefault="006D6FA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--------------------------------</w:t>
      </w:r>
    </w:p>
    <w:p w:rsidR="006D6FA0" w:rsidRDefault="006D6FA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&lt;9&gt; </w:t>
      </w:r>
      <w:hyperlink r:id="rId29">
        <w:r>
          <w:rPr>
            <w:rFonts w:ascii="Calibri" w:hAnsi="Calibri" w:cs="Calibri"/>
            <w:color w:val="0000FF"/>
          </w:rPr>
          <w:t>Подпункт "в" пункта 17.6</w:t>
        </w:r>
      </w:hyperlink>
      <w:r>
        <w:rPr>
          <w:rFonts w:ascii="Calibri" w:hAnsi="Calibri" w:cs="Calibri"/>
        </w:rPr>
        <w:t xml:space="preserve"> Положения о комиссии.</w:t>
      </w:r>
    </w:p>
    <w:p w:rsidR="006D6FA0" w:rsidRDefault="006D6FA0">
      <w:pPr>
        <w:spacing w:after="1" w:line="220" w:lineRule="auto"/>
        <w:jc w:val="both"/>
      </w:pPr>
    </w:p>
    <w:p w:rsidR="006D6FA0" w:rsidRDefault="006D6FA0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 xml:space="preserve">Также напоминаем, что в случае принятия соответствующей комиссией решения о том, что замещение должности в организации нарушает требования </w:t>
      </w:r>
      <w:hyperlink r:id="rId30">
        <w:r>
          <w:rPr>
            <w:rFonts w:ascii="Calibri" w:hAnsi="Calibri" w:cs="Calibri"/>
            <w:color w:val="0000FF"/>
          </w:rPr>
          <w:t>статьи 12</w:t>
        </w:r>
      </w:hyperlink>
      <w:r>
        <w:rPr>
          <w:rFonts w:ascii="Calibri" w:hAnsi="Calibri" w:cs="Calibri"/>
        </w:rPr>
        <w:t xml:space="preserve"> Федерального закона N 273-ФЗ, комиссия рекомендует руководителю органа публичной власти проинформировать об указанных обстоятельствах органы прокуратуры Российской Федерации и уведомившую организацию.</w:t>
      </w:r>
    </w:p>
    <w:p w:rsidR="006D6FA0" w:rsidRDefault="006D6FA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Применимо к </w:t>
      </w:r>
      <w:hyperlink w:anchor="P73">
        <w:r>
          <w:rPr>
            <w:rFonts w:ascii="Calibri" w:hAnsi="Calibri" w:cs="Calibri"/>
            <w:color w:val="0000FF"/>
          </w:rPr>
          <w:t>сценарию N 4</w:t>
        </w:r>
      </w:hyperlink>
      <w:r>
        <w:rPr>
          <w:rFonts w:ascii="Calibri" w:hAnsi="Calibri" w:cs="Calibri"/>
        </w:rPr>
        <w:t xml:space="preserve"> необходимо отметить, что </w:t>
      </w:r>
      <w:hyperlink r:id="rId31">
        <w:r>
          <w:rPr>
            <w:rFonts w:ascii="Calibri" w:hAnsi="Calibri" w:cs="Calibri"/>
            <w:color w:val="0000FF"/>
          </w:rPr>
          <w:t>пунктом 79</w:t>
        </w:r>
      </w:hyperlink>
      <w:r>
        <w:rPr>
          <w:rFonts w:ascii="Calibri" w:hAnsi="Calibri" w:cs="Calibri"/>
        </w:rPr>
        <w:t xml:space="preserve"> Методических рекомендаций предусмотрено, что при отсутствии в органе публичной власти в течение разумного срока (как правило, не позднее 6 месяцев) сведений о дальнейшем трудоустройстве бывшего служащего рекомендуется соответствующую информацию направлять в органы прокуратуры Российской Федерации по месту нахождения органа.</w:t>
      </w:r>
    </w:p>
    <w:p w:rsidR="006D6FA0" w:rsidRDefault="006D6FA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В свою очередь, органы прокуратуры Российской Федерации наделены достаточными полномочиями для надлежащего реагирования в случае поступления такой информации.</w:t>
      </w:r>
    </w:p>
    <w:p w:rsidR="006D6FA0" w:rsidRDefault="006D6FA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Таким образом, в указанном </w:t>
      </w:r>
      <w:hyperlink w:anchor="P73">
        <w:r>
          <w:rPr>
            <w:rFonts w:ascii="Calibri" w:hAnsi="Calibri" w:cs="Calibri"/>
            <w:color w:val="0000FF"/>
          </w:rPr>
          <w:t>сценарии</w:t>
        </w:r>
      </w:hyperlink>
      <w:r>
        <w:rPr>
          <w:rFonts w:ascii="Calibri" w:hAnsi="Calibri" w:cs="Calibri"/>
        </w:rPr>
        <w:t xml:space="preserve"> проверкой может считаться именно процедура внутреннего контроля дальнейшей карьеры бывшего служащего.</w:t>
      </w:r>
    </w:p>
    <w:p w:rsidR="006D6FA0" w:rsidRDefault="006D6FA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Практика свидетельствует, что в целях осуществления обозначенного контроля органы публичной власти используют следующие механизмы:</w:t>
      </w:r>
    </w:p>
    <w:p w:rsidR="006D6FA0" w:rsidRDefault="006D6FA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- ведение реестра (списка) бывших служащих;</w:t>
      </w:r>
    </w:p>
    <w:p w:rsidR="006D6FA0" w:rsidRDefault="006D6FA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lastRenderedPageBreak/>
        <w:t>- анализ поступивших обращений и уведомлений и их сравнение;</w:t>
      </w:r>
    </w:p>
    <w:p w:rsidR="006D6FA0" w:rsidRDefault="006D6FA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- уточнение информации о дальнейшем трудоустройстве бывшего служащего (например, посредством телефонного разговора).</w:t>
      </w:r>
    </w:p>
    <w:p w:rsidR="006D6FA0" w:rsidRDefault="006D6FA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По нашему мнению, для осуществления наиболее эффективного контроля за трудоустройством бывших служащих необходимо использовать именно комплексные подходы.</w:t>
      </w:r>
    </w:p>
    <w:p w:rsidR="006D6FA0" w:rsidRDefault="006D6FA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Так, например, отдельного внимания заслуживает алгоритм контроля за трудоустройством бывших служащих, заключающийся в формировании списка уволенных лиц с указанием данных о поступлении уведомлений, отслеживании передачи личных дел в федеральной государственной информационной системе "Единая информационная система управления кадровым составом государственной гражданской службы Российской Федерации" и регистрации граждан Российской Федерации в едином государственном реестре юридических лиц и едином государственном реестре индивидуальных предпринимателей.</w:t>
      </w:r>
    </w:p>
    <w:p w:rsidR="006D6FA0" w:rsidRDefault="006D6FA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Учитывая изложенное, в целях повышения эффективности государственной политики в сфере противодействия коррупции убедительно просим использовать действующие механизмы, касающиеся проведения проверок, предусмотренные законодательством Российской Федерации и Методическими </w:t>
      </w:r>
      <w:hyperlink r:id="rId32">
        <w:r>
          <w:rPr>
            <w:rFonts w:ascii="Calibri" w:hAnsi="Calibri" w:cs="Calibri"/>
            <w:color w:val="0000FF"/>
          </w:rPr>
          <w:t>рекомендациями</w:t>
        </w:r>
      </w:hyperlink>
      <w:r>
        <w:rPr>
          <w:rFonts w:ascii="Calibri" w:hAnsi="Calibri" w:cs="Calibri"/>
        </w:rPr>
        <w:t>.</w:t>
      </w:r>
    </w:p>
    <w:p w:rsidR="006D6FA0" w:rsidRDefault="006D6FA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Особое внимание обращаем на рекомендацию, согласно которой при отсутствии в органе публичной власти в течение разумного срока (как правило, не позднее 6 месяцев) сведений о дальнейшем трудоустройстве бывшего служащего соответствующая информация направляется в органы прокуратуры Российской Федерации по месту нахождения органа.</w:t>
      </w:r>
    </w:p>
    <w:p w:rsidR="006D6FA0" w:rsidRDefault="006D6FA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Несоблюдение указанной рекомендации может свидетельствовать о неисполнении органом публичной власти пункта 2 раздела 4 протокола заседания президиума Совета при Президенте Российской Федерации по противодействию коррупции от 24 апреля 2015 г. N 47.</w:t>
      </w:r>
    </w:p>
    <w:p w:rsidR="006D6FA0" w:rsidRDefault="006D6FA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В указанных обстоятельствах:</w:t>
      </w:r>
    </w:p>
    <w:p w:rsidR="006D6FA0" w:rsidRDefault="006D6FA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- центральным аппаратам федеральных государственных органов целесообразно усилить как внутренний контроль за соблюдением обозначенной рекомендации, так и контроль за ее соблюдением в территориальных органах федеральных государственных органов;</w:t>
      </w:r>
    </w:p>
    <w:p w:rsidR="006D6FA0" w:rsidRDefault="006D6FA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- органам субъектов Российской Федерации по профилактике коррупционных и иных правонарушений - усилить контроль в отношении соответствующих органов публичной власти.</w:t>
      </w:r>
    </w:p>
    <w:p w:rsidR="006D6FA0" w:rsidRDefault="006D6FA0">
      <w:pPr>
        <w:spacing w:after="1" w:line="220" w:lineRule="auto"/>
        <w:jc w:val="both"/>
      </w:pPr>
    </w:p>
    <w:p w:rsidR="006D6FA0" w:rsidRDefault="006D6FA0">
      <w:pPr>
        <w:spacing w:after="1" w:line="220" w:lineRule="auto"/>
        <w:jc w:val="both"/>
      </w:pPr>
    </w:p>
    <w:p w:rsidR="006D6FA0" w:rsidRDefault="006D6FA0">
      <w:pPr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3242D0" w:rsidRDefault="003242D0"/>
    <w:sectPr w:rsidR="003242D0" w:rsidSect="00B243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9CA"/>
    <w:rsid w:val="003242D0"/>
    <w:rsid w:val="006D09CA"/>
    <w:rsid w:val="006D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B26401-BAD6-4D5D-AD1F-125197A99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217042&amp;dst=100001" TargetMode="External"/><Relationship Id="rId18" Type="http://schemas.openxmlformats.org/officeDocument/2006/relationships/hyperlink" Target="https://login.consultant.ru/link/?req=doc&amp;base=LAW&amp;n=464894&amp;dst=33" TargetMode="External"/><Relationship Id="rId26" Type="http://schemas.openxmlformats.org/officeDocument/2006/relationships/hyperlink" Target="https://login.consultant.ru/link/?req=doc&amp;base=LAW&amp;n=468056&amp;dst=10018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68056&amp;dst=11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468040&amp;dst=100269" TargetMode="External"/><Relationship Id="rId12" Type="http://schemas.openxmlformats.org/officeDocument/2006/relationships/hyperlink" Target="https://login.consultant.ru/link/?req=doc&amp;base=LAW&amp;n=217042&amp;dst=100001" TargetMode="External"/><Relationship Id="rId17" Type="http://schemas.openxmlformats.org/officeDocument/2006/relationships/hyperlink" Target="https://login.consultant.ru/link/?req=doc&amp;base=LAW&amp;n=217042&amp;dst=100004" TargetMode="External"/><Relationship Id="rId25" Type="http://schemas.openxmlformats.org/officeDocument/2006/relationships/hyperlink" Target="https://login.consultant.ru/link/?req=doc&amp;base=LAW&amp;n=468056&amp;dst=100155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217042&amp;dst=100001" TargetMode="External"/><Relationship Id="rId20" Type="http://schemas.openxmlformats.org/officeDocument/2006/relationships/hyperlink" Target="https://login.consultant.ru/link/?req=doc&amp;base=LAW&amp;n=468056&amp;dst=100146" TargetMode="External"/><Relationship Id="rId29" Type="http://schemas.openxmlformats.org/officeDocument/2006/relationships/hyperlink" Target="https://login.consultant.ru/link/?req=doc&amp;base=LAW&amp;n=468056&amp;dst=10018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0733&amp;dst=100129" TargetMode="External"/><Relationship Id="rId11" Type="http://schemas.openxmlformats.org/officeDocument/2006/relationships/hyperlink" Target="https://login.consultant.ru/link/?req=doc&amp;base=LAW&amp;n=464894&amp;dst=28" TargetMode="External"/><Relationship Id="rId24" Type="http://schemas.openxmlformats.org/officeDocument/2006/relationships/hyperlink" Target="https://login.consultant.ru/link/?req=doc&amp;base=LAW&amp;n=468056&amp;dst=100154" TargetMode="External"/><Relationship Id="rId32" Type="http://schemas.openxmlformats.org/officeDocument/2006/relationships/hyperlink" Target="https://login.consultant.ru/link/?req=doc&amp;base=LAW&amp;n=217042&amp;dst=100001" TargetMode="External"/><Relationship Id="rId5" Type="http://schemas.openxmlformats.org/officeDocument/2006/relationships/hyperlink" Target="https://login.consultant.ru/link/?req=doc&amp;base=LAW&amp;n=464894&amp;dst=28" TargetMode="External"/><Relationship Id="rId15" Type="http://schemas.openxmlformats.org/officeDocument/2006/relationships/hyperlink" Target="https://login.consultant.ru/link/?req=doc&amp;base=LAW&amp;n=464894" TargetMode="External"/><Relationship Id="rId23" Type="http://schemas.openxmlformats.org/officeDocument/2006/relationships/hyperlink" Target="https://login.consultant.ru/link/?req=doc&amp;base=LAW&amp;n=468056&amp;dst=100053" TargetMode="External"/><Relationship Id="rId28" Type="http://schemas.openxmlformats.org/officeDocument/2006/relationships/hyperlink" Target="https://login.consultant.ru/link/?req=doc&amp;base=LAW&amp;n=468056&amp;dst=100152" TargetMode="External"/><Relationship Id="rId10" Type="http://schemas.openxmlformats.org/officeDocument/2006/relationships/hyperlink" Target="https://login.consultant.ru/link/?req=doc&amp;base=LAW&amp;n=464894&amp;dst=28" TargetMode="External"/><Relationship Id="rId19" Type="http://schemas.openxmlformats.org/officeDocument/2006/relationships/hyperlink" Target="https://login.consultant.ru/link/?req=doc&amp;base=LAW&amp;n=474024&amp;dst=1713" TargetMode="External"/><Relationship Id="rId31" Type="http://schemas.openxmlformats.org/officeDocument/2006/relationships/hyperlink" Target="https://login.consultant.ru/link/?req=doc&amp;base=LAW&amp;n=217042&amp;dst=100203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50733&amp;dst=100129" TargetMode="External"/><Relationship Id="rId14" Type="http://schemas.openxmlformats.org/officeDocument/2006/relationships/hyperlink" Target="https://login.consultant.ru/link/?req=doc&amp;base=LAW&amp;n=217042&amp;dst=100014" TargetMode="External"/><Relationship Id="rId22" Type="http://schemas.openxmlformats.org/officeDocument/2006/relationships/hyperlink" Target="https://login.consultant.ru/link/?req=doc&amp;base=LAW&amp;n=464894&amp;dst=28" TargetMode="External"/><Relationship Id="rId27" Type="http://schemas.openxmlformats.org/officeDocument/2006/relationships/hyperlink" Target="https://login.consultant.ru/link/?req=doc&amp;base=LAW&amp;n=468056&amp;dst=100102" TargetMode="External"/><Relationship Id="rId30" Type="http://schemas.openxmlformats.org/officeDocument/2006/relationships/hyperlink" Target="https://login.consultant.ru/link/?req=doc&amp;base=LAW&amp;n=464894&amp;dst=28" TargetMode="External"/><Relationship Id="rId8" Type="http://schemas.openxmlformats.org/officeDocument/2006/relationships/hyperlink" Target="https://login.consultant.ru/link/?req=doc&amp;base=LAW&amp;n=468040&amp;dst=1002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2492</Words>
  <Characters>14206</Characters>
  <Application>Microsoft Office Word</Application>
  <DocSecurity>0</DocSecurity>
  <Lines>118</Lines>
  <Paragraphs>33</Paragraphs>
  <ScaleCrop>false</ScaleCrop>
  <Company/>
  <LinksUpToDate>false</LinksUpToDate>
  <CharactersWithSpaces>16665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2024-08-22T07:49:00Z</dcterms:created>
  <dcterms:modified xsi:type="dcterms:W3CDTF">2024-08-22T07:49:00Z</dcterms:modified>
</cp:coreProperties>
</file>