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достигнутых за отчетный перио</w:t>
      </w:r>
      <w:r>
        <w:rPr>
          <w:rFonts w:ascii="Times New Roman" w:hAnsi="Times New Roman" w:cs="Times New Roman"/>
          <w:b/>
          <w:sz w:val="26"/>
          <w:szCs w:val="26"/>
        </w:rPr>
        <w:t xml:space="preserve">д (прошедший год) значениях (уровнях) показателей для оценки эффективности деятельности высших должностных лиц </w:t>
      </w:r>
      <w:r>
        <w:rPr>
          <w:rFonts w:ascii="Times New Roman" w:hAnsi="Times New Roman" w:cs="Times New Roman"/>
          <w:b/>
          <w:sz w:val="26"/>
          <w:szCs w:val="26"/>
        </w:rPr>
        <w:t xml:space="preserve">субъектов Российской Федерации и деятельности исполнительных органов субъектов Российской Федерации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2022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i/>
          <w:sz w:val="26"/>
          <w:szCs w:val="26"/>
        </w:rPr>
        <w:t xml:space="preserve">(актуализированная в соответствии с данными Минэкономразвития России)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/>
    </w:p>
    <w:tbl>
      <w:tblPr>
        <w:tblW w:w="1478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712"/>
        <w:gridCol w:w="1434"/>
        <w:gridCol w:w="1563"/>
        <w:gridCol w:w="6517"/>
      </w:tblGrid>
      <w:tr>
        <w:trPr>
          <w:trHeight w:val="924"/>
          <w:tblHeader/>
        </w:trPr>
        <w:tc>
          <w:tcPr>
            <w:shd w:val="clear" w:color="auto" w:fill="auto"/>
            <w:tcW w:w="56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</w:t>
            </w:r>
            <w:r/>
          </w:p>
        </w:tc>
        <w:tc>
          <w:tcPr>
            <w:shd w:val="clear" w:color="auto" w:fill="auto"/>
            <w:tcW w:w="47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показателя,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единицы измерения</w:t>
            </w:r>
            <w:r/>
          </w:p>
        </w:tc>
        <w:tc>
          <w:tcPr>
            <w:shd w:val="clear" w:color="auto" w:fill="auto"/>
            <w:tcW w:w="14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Установл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значение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показателя</w:t>
            </w:r>
            <w:r/>
            <w:r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/>
          </w:p>
        </w:tc>
        <w:tc>
          <w:tcPr>
            <w:shd w:val="clear" w:color="auto" w:fill="auto"/>
            <w:tcW w:w="156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значение показателя</w:t>
            </w:r>
            <w:r/>
            <w:r/>
          </w:p>
        </w:tc>
        <w:tc>
          <w:tcPr>
            <w:shd w:val="clear" w:color="auto" w:fill="auto"/>
            <w:tcW w:w="6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Примечание</w:t>
            </w:r>
            <w:r/>
          </w:p>
        </w:tc>
      </w:tr>
      <w:tr>
        <w:trPr>
          <w:trHeight w:val="663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Доверие к власти (доверие к Президенту Российской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и, высшим должностным лицам субъектов Российской Федерации, уровень которого определяется в том числе посредством оценки общественного мнения в отношении достижения в субъектах Российской Федерации национальных целей развития Российской Федерации), процент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72*</w:t>
            </w:r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78,5*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109 %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региональная оценка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населения субъекта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тыс. человек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1 531,40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1 520,95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%.</w:t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Ключевым фактором, повлиявшим на недостижение показателя в отчетном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периоде, является миграция населения из региона ввиду геополитической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обстановки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Ожидаемая продолжительность жизни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 рождении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лет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71,91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73,05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бедности, процент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систематически занимающихся физической культурой и спортом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58,60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58,68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77,64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78,71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 системы выявления, поддержки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развития способностей и талантов у детей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молод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ё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40,09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42,05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Доля граждан, занимающихся добровольческой (волонт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ё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рской) деятельностью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10,40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51,90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499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воспитания гармонично развитой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социально ответственной личности, процент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103,00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123,80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Число посещений культурных мероприятий, тысяч единиц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39 007,00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44 612,00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улучшивших жилищные условия, тысяч семей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36,34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30,91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85 %.</w:t>
            </w:r>
            <w:r/>
          </w:p>
          <w:p>
            <w:pPr>
              <w:jc w:val="both"/>
              <w:spacing w:after="0" w:line="23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Министерством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жилищно-коммунального хозяйства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значений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after="0" w:line="23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купивших 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договорам купли-продажи</w:t>
            </w:r>
            <w:r/>
          </w:p>
          <w:p>
            <w:pPr>
              <w:jc w:val="both"/>
              <w:spacing w:after="0" w:line="23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построивших индивидуальный жилой дом за счет собственных и привлеченных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after="0" w:line="23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получивших жилое помещение по договорам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after="0" w:line="23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зарегистрированных договоров аренды и найма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переселенных из аварийного жилищного фонда в рамках реализации региональных адресных программ;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семей, улучшивших жилищные условия иными методами, в том числе за счет проведения капитального ремонта общего имущества в многоквартирных домах или регистрации прав собственности на основании справки о полной выплате паевого взноса членом жилищно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го, жилищно-строительного, иного кооператива.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планового значения показателя в отчётном периоде выявлено по составляющим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переселенных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аварийного жилищного фонда» 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семей, улучшивших жилищные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роведения капитального ремонта»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жилищного строительства, 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кв. метров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0,840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0,841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212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 городской среды, процент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13,00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13,00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дорожной сети в крупнейших городских агломерациях, соответствующая нормативам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82,69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82,97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окружающей среды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106,25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93,50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jc w:val="both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88 %.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рассчитывается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природных ресурсов и экологии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на определении уровня негативного антропогенного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воздействия на окружающую среду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after="0" w:line="233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итогам 2022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следующим основным направлениям: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загрязнения атмосферного воздуха (0,99),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загрязнения водных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(0,98),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сохранения лесного потенциала (1,25),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отходы (0,5).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«Коэффициент отходы» состоит из двух показателей: обработка твердых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коммунальных отходов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количество несанкционированных свалок.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Недостижение целевого значения по итогам </w:t>
              <w:br/>
              <w:t xml:space="preserve">2022 года связано с превышением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несанкционированных свалок 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(индекс роста) реальной среднемесячной заработной платы,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2020 году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98,02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104,30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6 %</w:t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(индекс роста) реального среднедушевого денежного дохода населения,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2020 году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102,00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  <w:p>
            <w:pPr>
              <w:jc w:val="both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/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(индекс роста) физического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 инвестиций в основной капитал, </w:t>
              <w:br/>
              <w:t xml:space="preserve">за исключением инвестиций инфраструктурных монополий (федеральные проекты) и бюджетных ассигнований федерального бюджета,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2020 году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97,42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97 %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Росстата данный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сложился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значения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процентных пункта. 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Недостижение планового значения обусловлено тем, </w:t>
              <w:br/>
              <w:t xml:space="preserve"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фаза реализации крупных инвестиционных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ектов приходится на 2023-2025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рост инвестиций в основной капитал (по полному кругу хозяйствующих субъектов за счет всех источников финансирования) в 2022 году по сравнению с 2021 годом </w:t>
              <w:br/>
              <w:t xml:space="preserve">в действующих ценах составил 114,7 %.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роста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данного показателя в области сформирован портфель из 149 крупных реализуемых инвестиционных проектов на сумму около 311 млрд рублей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879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line="23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занятых в сфере малого </w:t>
              <w:br/>
              <w:t xml:space="preserve">и среднего предпринимательства, включая индивидуальных предпринимателей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самозанятых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тыс. человек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228,21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248,94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2378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зрелость» органов государственной власти 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63,70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</w:p>
        </w:tc>
      </w:tr>
      <w:tr>
        <w:trPr>
          <w:trHeight w:val="7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9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1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  <w:r/>
          </w:p>
        </w:tc>
      </w:tr>
    </w:tbl>
    <w:p>
      <w:pPr>
        <w:rPr>
          <w:sz w:val="2"/>
          <w:szCs w:val="2"/>
        </w:rPr>
      </w:pPr>
      <w:r>
        <w:t xml:space="preserve">1</w:t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9"/>
      <w:footnotePr/>
      <w:endnotePr/>
      <w:type w:val="nextPage"/>
      <w:pgSz w:w="16838" w:h="11906" w:orient="landscape"/>
      <w:pgMar w:top="1559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27802349"/>
      <w:docPartObj>
        <w:docPartGallery w:val="Page Numbers (Top of Page)"/>
        <w:docPartUnique w:val="true"/>
      </w:docPartObj>
      <w:rPr/>
    </w:sdtPr>
    <w:sdtContent>
      <w:p>
        <w:pPr>
          <w:pStyle w:val="84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8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5"/>
    <w:next w:val="835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6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5"/>
    <w:next w:val="835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6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6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6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6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6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6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6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6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5"/>
    <w:next w:val="83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6"/>
    <w:link w:val="679"/>
    <w:uiPriority w:val="10"/>
    <w:rPr>
      <w:sz w:val="48"/>
      <w:szCs w:val="48"/>
    </w:rPr>
  </w:style>
  <w:style w:type="paragraph" w:styleId="681">
    <w:name w:val="Subtitle"/>
    <w:basedOn w:val="835"/>
    <w:next w:val="83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6"/>
    <w:link w:val="681"/>
    <w:uiPriority w:val="11"/>
    <w:rPr>
      <w:sz w:val="24"/>
      <w:szCs w:val="24"/>
    </w:rPr>
  </w:style>
  <w:style w:type="paragraph" w:styleId="683">
    <w:name w:val="Quote"/>
    <w:basedOn w:val="835"/>
    <w:next w:val="835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5"/>
    <w:next w:val="835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6"/>
    <w:link w:val="840"/>
    <w:uiPriority w:val="99"/>
  </w:style>
  <w:style w:type="character" w:styleId="688">
    <w:name w:val="Footer Char"/>
    <w:basedOn w:val="836"/>
    <w:link w:val="842"/>
    <w:uiPriority w:val="99"/>
  </w:style>
  <w:style w:type="paragraph" w:styleId="689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42"/>
    <w:uiPriority w:val="99"/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  <w:spacing w:after="200" w:line="276" w:lineRule="auto"/>
    </w:pPr>
  </w:style>
  <w:style w:type="paragraph" w:styleId="840">
    <w:name w:val="Header"/>
    <w:basedOn w:val="835"/>
    <w:link w:val="8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36"/>
    <w:link w:val="840"/>
    <w:uiPriority w:val="99"/>
  </w:style>
  <w:style w:type="paragraph" w:styleId="842">
    <w:name w:val="Footer"/>
    <w:basedOn w:val="835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36"/>
    <w:link w:val="84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Гапеева Елена Александровна</dc:creator>
  <cp:keywords/>
  <dc:description/>
  <cp:revision>37</cp:revision>
  <dcterms:created xsi:type="dcterms:W3CDTF">2022-05-30T07:12:00Z</dcterms:created>
  <dcterms:modified xsi:type="dcterms:W3CDTF">2024-10-18T14:03:51Z</dcterms:modified>
</cp:coreProperties>
</file>